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B6B75" w:rsidRDefault="00652353">
      <w:pPr>
        <w:spacing w:line="360" w:lineRule="auto"/>
        <w:rPr>
          <w:rFonts w:ascii="Arial" w:eastAsia="Arial" w:hAnsi="Arial" w:cs="Arial"/>
          <w:b/>
          <w:sz w:val="36"/>
          <w:szCs w:val="36"/>
        </w:rPr>
      </w:pPr>
      <w:r>
        <w:rPr>
          <w:rFonts w:ascii="Arial" w:eastAsia="Arial" w:hAnsi="Arial" w:cs="Arial"/>
          <w:b/>
          <w:sz w:val="36"/>
          <w:szCs w:val="36"/>
        </w:rPr>
        <w:t>Call-Off Schedule 21 (Northern Ireland Law)</w:t>
      </w:r>
    </w:p>
    <w:p w14:paraId="00000002" w14:textId="77777777" w:rsidR="002B6B75" w:rsidRDefault="002B6B75">
      <w:pPr>
        <w:jc w:val="both"/>
        <w:rPr>
          <w:rFonts w:ascii="Arial" w:eastAsia="Arial" w:hAnsi="Arial" w:cs="Arial"/>
          <w:b/>
          <w:sz w:val="26"/>
          <w:szCs w:val="26"/>
        </w:rPr>
      </w:pPr>
    </w:p>
    <w:p w14:paraId="00000003" w14:textId="77777777" w:rsidR="002B6B75" w:rsidRDefault="00652353">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00000004" w14:textId="77777777" w:rsidR="002B6B75" w:rsidRDefault="002B6B75">
      <w:pPr>
        <w:jc w:val="both"/>
        <w:rPr>
          <w:rFonts w:ascii="Arial" w:eastAsia="Arial" w:hAnsi="Arial" w:cs="Arial"/>
          <w:sz w:val="26"/>
          <w:szCs w:val="26"/>
        </w:rPr>
      </w:pPr>
    </w:p>
    <w:p w14:paraId="00000005" w14:textId="77777777" w:rsidR="002B6B75" w:rsidRDefault="00652353">
      <w:pPr>
        <w:numPr>
          <w:ilvl w:val="1"/>
          <w:numId w:val="1"/>
        </w:numPr>
        <w:pBdr>
          <w:top w:val="nil"/>
          <w:left w:val="nil"/>
          <w:bottom w:val="nil"/>
          <w:right w:val="nil"/>
          <w:between w:val="nil"/>
        </w:pBdr>
        <w:tabs>
          <w:tab w:val="left" w:pos="1124"/>
        </w:tabs>
        <w:ind w:left="851" w:firstLine="0"/>
        <w:jc w:val="both"/>
        <w:rPr>
          <w:rFonts w:ascii="Arial" w:eastAsia="Arial" w:hAnsi="Arial" w:cs="Arial"/>
          <w:color w:val="000000"/>
        </w:rPr>
      </w:pPr>
      <w:r>
        <w:rPr>
          <w:rFonts w:ascii="Arial" w:eastAsia="Arial" w:hAnsi="Arial" w:cs="Arial"/>
          <w:color w:val="000000"/>
        </w:rPr>
        <w:t xml:space="preserve">This Call-Off Schedule 21 may be included to adapt the Core Terms and </w:t>
      </w:r>
    </w:p>
    <w:p w14:paraId="00000006" w14:textId="77777777" w:rsidR="002B6B75" w:rsidRDefault="00652353">
      <w:pPr>
        <w:pBdr>
          <w:top w:val="nil"/>
          <w:left w:val="nil"/>
          <w:bottom w:val="nil"/>
          <w:right w:val="nil"/>
          <w:between w:val="nil"/>
        </w:pBdr>
        <w:tabs>
          <w:tab w:val="left" w:pos="1134"/>
        </w:tabs>
        <w:ind w:left="851"/>
        <w:jc w:val="both"/>
        <w:rPr>
          <w:rFonts w:ascii="Arial" w:eastAsia="Arial" w:hAnsi="Arial" w:cs="Arial"/>
          <w:color w:val="000000"/>
        </w:rPr>
      </w:pPr>
      <w:r>
        <w:rPr>
          <w:rFonts w:ascii="Arial" w:eastAsia="Arial" w:hAnsi="Arial" w:cs="Arial"/>
          <w:color w:val="000000"/>
        </w:rPr>
        <w:tab/>
      </w:r>
      <w:r>
        <w:rPr>
          <w:rFonts w:ascii="Arial" w:eastAsia="Arial" w:hAnsi="Arial" w:cs="Arial"/>
          <w:color w:val="000000"/>
        </w:rPr>
        <w:tab/>
        <w:t>Schedules so that the Call-Off Contract is under Northern Ireland Law.</w:t>
      </w:r>
    </w:p>
    <w:p w14:paraId="00000007" w14:textId="77777777" w:rsidR="002B6B75" w:rsidRDefault="002B6B75">
      <w:pPr>
        <w:tabs>
          <w:tab w:val="left" w:pos="1134"/>
        </w:tabs>
        <w:jc w:val="both"/>
        <w:rPr>
          <w:rFonts w:ascii="Arial" w:eastAsia="Arial" w:hAnsi="Arial" w:cs="Arial"/>
          <w:b/>
          <w:sz w:val="26"/>
          <w:szCs w:val="26"/>
        </w:rPr>
      </w:pPr>
      <w:bookmarkStart w:id="0" w:name="_GoBack"/>
      <w:bookmarkEnd w:id="0"/>
    </w:p>
    <w:p w14:paraId="00000008" w14:textId="77777777" w:rsidR="002B6B75" w:rsidRDefault="00652353">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00000009" w14:textId="77777777" w:rsidR="002B6B75" w:rsidRDefault="002B6B75">
      <w:pPr>
        <w:tabs>
          <w:tab w:val="left" w:pos="1134"/>
        </w:tabs>
        <w:ind w:left="142"/>
        <w:jc w:val="both"/>
        <w:rPr>
          <w:rFonts w:ascii="Arial" w:eastAsia="Arial" w:hAnsi="Arial" w:cs="Arial"/>
          <w:b/>
        </w:rPr>
      </w:pPr>
    </w:p>
    <w:p w14:paraId="0000000A" w14:textId="77777777" w:rsidR="002B6B75" w:rsidRDefault="00652353">
      <w:pPr>
        <w:tabs>
          <w:tab w:val="left" w:pos="1134"/>
        </w:tabs>
        <w:ind w:left="426" w:firstLine="424"/>
        <w:jc w:val="both"/>
        <w:rPr>
          <w:rFonts w:ascii="Arial" w:eastAsia="Arial" w:hAnsi="Arial" w:cs="Arial"/>
        </w:rPr>
      </w:pPr>
      <w:r>
        <w:rPr>
          <w:rFonts w:ascii="Arial" w:eastAsia="Arial" w:hAnsi="Arial" w:cs="Arial"/>
        </w:rPr>
        <w:t>2.1</w:t>
      </w:r>
      <w:r>
        <w:rPr>
          <w:rFonts w:ascii="Arial" w:eastAsia="Arial" w:hAnsi="Arial" w:cs="Arial"/>
        </w:rPr>
        <w:tab/>
        <w:t>Clause 34 (Resolving Disputes):</w:t>
      </w:r>
    </w:p>
    <w:p w14:paraId="0000000B" w14:textId="77777777" w:rsidR="002B6B75" w:rsidRDefault="002B6B75">
      <w:pPr>
        <w:tabs>
          <w:tab w:val="left" w:pos="1134"/>
        </w:tabs>
        <w:ind w:left="426"/>
        <w:jc w:val="both"/>
        <w:rPr>
          <w:rFonts w:ascii="Arial" w:eastAsia="Arial" w:hAnsi="Arial" w:cs="Arial"/>
        </w:rPr>
      </w:pPr>
    </w:p>
    <w:p w14:paraId="0000000C" w14:textId="77777777" w:rsidR="002B6B75" w:rsidRDefault="00652353">
      <w:pPr>
        <w:ind w:left="2267" w:hanging="850"/>
        <w:jc w:val="both"/>
        <w:rPr>
          <w:rFonts w:ascii="Arial" w:eastAsia="Arial" w:hAnsi="Arial" w:cs="Arial"/>
        </w:rPr>
      </w:pPr>
      <w:r>
        <w:rPr>
          <w:rFonts w:ascii="Arial" w:eastAsia="Arial" w:hAnsi="Arial" w:cs="Arial"/>
        </w:rPr>
        <w:t xml:space="preserve">2.1.1   Clause 34.2: substitute the following wording: “If the Dispute is not resolved at that meeting, the Parties can attempt to settle it by mediation using the Dispute Resolution Service of Northern Ireland (DRS) Code </w:t>
      </w:r>
      <w:r>
        <w:rPr>
          <w:rFonts w:ascii="Arial" w:eastAsia="Arial" w:hAnsi="Arial" w:cs="Arial"/>
        </w:rPr>
        <w:t>of Practice current time at the time of the Dispute.  If the Parties cannot agree on a mediator, the mediator will be nominated by DRS.  If either Party does not wish to use, or continue to use mediation, or mediation does not resolve the Dispute, the Disp</w:t>
      </w:r>
      <w:r>
        <w:rPr>
          <w:rFonts w:ascii="Arial" w:eastAsia="Arial" w:hAnsi="Arial" w:cs="Arial"/>
        </w:rPr>
        <w:t>ute must be resolved using Clauses 34.3 to 34.5”.</w:t>
      </w:r>
    </w:p>
    <w:p w14:paraId="0000000D" w14:textId="77777777" w:rsidR="002B6B75" w:rsidRDefault="002B6B75">
      <w:pPr>
        <w:ind w:left="2692" w:hanging="420"/>
        <w:jc w:val="both"/>
        <w:rPr>
          <w:rFonts w:ascii="Arial" w:eastAsia="Arial" w:hAnsi="Arial" w:cs="Arial"/>
        </w:rPr>
      </w:pPr>
    </w:p>
    <w:p w14:paraId="0000000E" w14:textId="77777777" w:rsidR="002B6B75" w:rsidRDefault="00652353">
      <w:pPr>
        <w:ind w:left="2267" w:hanging="850"/>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0000000F" w14:textId="77777777" w:rsidR="002B6B75" w:rsidRDefault="002B6B75">
      <w:pPr>
        <w:ind w:left="1843" w:hanging="566"/>
        <w:jc w:val="both"/>
        <w:rPr>
          <w:rFonts w:ascii="Arial" w:eastAsia="Arial" w:hAnsi="Arial" w:cs="Arial"/>
        </w:rPr>
      </w:pPr>
    </w:p>
    <w:p w14:paraId="00000010" w14:textId="77777777" w:rsidR="002B6B75" w:rsidRDefault="00652353">
      <w:pPr>
        <w:ind w:left="2268" w:hanging="850"/>
        <w:jc w:val="both"/>
        <w:rPr>
          <w:rFonts w:ascii="Arial" w:eastAsia="Arial" w:hAnsi="Arial" w:cs="Arial"/>
        </w:rPr>
      </w:pPr>
      <w:r>
        <w:rPr>
          <w:rFonts w:ascii="Arial" w:eastAsia="Arial" w:hAnsi="Arial" w:cs="Arial"/>
        </w:rPr>
        <w:t>2.1.3</w:t>
      </w:r>
      <w:r>
        <w:rPr>
          <w:rFonts w:ascii="Arial" w:eastAsia="Arial" w:hAnsi="Arial" w:cs="Arial"/>
        </w:rPr>
        <w:tab/>
      </w:r>
      <w:r>
        <w:rPr>
          <w:rFonts w:ascii="Arial" w:eastAsia="Arial" w:hAnsi="Arial" w:cs="Arial"/>
        </w:rPr>
        <w:t>Clause 34.4: the seat or legal place of the arbitration shall be amended, so that it takes place in Belfast as opposed to London.</w:t>
      </w:r>
    </w:p>
    <w:p w14:paraId="00000011" w14:textId="77777777" w:rsidR="002B6B75" w:rsidRDefault="002B6B75">
      <w:pPr>
        <w:jc w:val="both"/>
        <w:rPr>
          <w:rFonts w:ascii="Arial" w:eastAsia="Arial" w:hAnsi="Arial" w:cs="Arial"/>
        </w:rPr>
      </w:pPr>
    </w:p>
    <w:p w14:paraId="00000012" w14:textId="77777777" w:rsidR="002B6B75" w:rsidRDefault="00652353">
      <w:pPr>
        <w:ind w:left="1560"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00000013" w14:textId="77777777" w:rsidR="002B6B75" w:rsidRDefault="002B6B75">
      <w:pPr>
        <w:ind w:firstLine="426"/>
        <w:jc w:val="both"/>
        <w:rPr>
          <w:rFonts w:ascii="Arial" w:eastAsia="Arial" w:hAnsi="Arial" w:cs="Arial"/>
        </w:rPr>
      </w:pPr>
    </w:p>
    <w:p w14:paraId="00000014" w14:textId="77777777" w:rsidR="002B6B75" w:rsidRDefault="00652353">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Joint Schedules</w:t>
      </w:r>
    </w:p>
    <w:p w14:paraId="00000015" w14:textId="77777777" w:rsidR="002B6B75" w:rsidRDefault="002B6B75">
      <w:pPr>
        <w:pBdr>
          <w:top w:val="nil"/>
          <w:left w:val="nil"/>
          <w:bottom w:val="nil"/>
          <w:right w:val="nil"/>
          <w:between w:val="nil"/>
        </w:pBdr>
        <w:ind w:left="851"/>
        <w:jc w:val="both"/>
        <w:rPr>
          <w:rFonts w:ascii="Arial" w:eastAsia="Arial" w:hAnsi="Arial" w:cs="Arial"/>
          <w:b/>
          <w:color w:val="000000"/>
        </w:rPr>
      </w:pPr>
    </w:p>
    <w:p w14:paraId="00000016" w14:textId="77777777" w:rsidR="002B6B75" w:rsidRDefault="00652353">
      <w:pPr>
        <w:tabs>
          <w:tab w:val="left" w:pos="1134"/>
        </w:tabs>
        <w:ind w:left="851" w:hanging="851"/>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00000017" w14:textId="77777777" w:rsidR="002B6B75" w:rsidRDefault="002B6B75">
      <w:pPr>
        <w:pBdr>
          <w:top w:val="nil"/>
          <w:left w:val="nil"/>
          <w:bottom w:val="nil"/>
          <w:right w:val="nil"/>
          <w:between w:val="nil"/>
        </w:pBdr>
        <w:ind w:left="851"/>
        <w:jc w:val="both"/>
        <w:rPr>
          <w:rFonts w:ascii="Arial" w:eastAsia="Arial" w:hAnsi="Arial" w:cs="Arial"/>
          <w:b/>
          <w:color w:val="000000"/>
        </w:rPr>
      </w:pPr>
    </w:p>
    <w:p w14:paraId="00000018" w14:textId="77777777" w:rsidR="002B6B75" w:rsidRDefault="00652353">
      <w:pPr>
        <w:pBdr>
          <w:top w:val="nil"/>
          <w:left w:val="nil"/>
          <w:bottom w:val="nil"/>
          <w:right w:val="nil"/>
          <w:between w:val="nil"/>
        </w:pBdr>
        <w:ind w:left="2268"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00000019" w14:textId="77777777" w:rsidR="002B6B75" w:rsidRDefault="002B6B75">
      <w:pPr>
        <w:pBdr>
          <w:top w:val="nil"/>
          <w:left w:val="nil"/>
          <w:bottom w:val="nil"/>
          <w:right w:val="nil"/>
          <w:between w:val="nil"/>
        </w:pBdr>
        <w:tabs>
          <w:tab w:val="left" w:pos="1843"/>
        </w:tabs>
        <w:ind w:left="1276"/>
        <w:jc w:val="both"/>
        <w:rPr>
          <w:rFonts w:ascii="Arial" w:eastAsia="Arial" w:hAnsi="Arial" w:cs="Arial"/>
          <w:color w:val="000000"/>
        </w:rPr>
      </w:pPr>
    </w:p>
    <w:p w14:paraId="0000001A" w14:textId="77777777" w:rsidR="002B6B75" w:rsidRDefault="00652353">
      <w:pPr>
        <w:pBdr>
          <w:top w:val="nil"/>
          <w:left w:val="nil"/>
          <w:bottom w:val="nil"/>
          <w:right w:val="nil"/>
          <w:between w:val="nil"/>
        </w:pBdr>
        <w:ind w:left="2268" w:hanging="709"/>
        <w:jc w:val="both"/>
        <w:rPr>
          <w:rFonts w:ascii="Arial" w:eastAsia="Arial" w:hAnsi="Arial" w:cs="Arial"/>
          <w:color w:val="000000"/>
        </w:rPr>
      </w:pPr>
      <w:r>
        <w:rPr>
          <w:rFonts w:ascii="Arial" w:eastAsia="Arial" w:hAnsi="Arial" w:cs="Arial"/>
          <w:color w:val="000000"/>
        </w:rPr>
        <w:t>3.1.2</w:t>
      </w:r>
      <w:r>
        <w:rPr>
          <w:rFonts w:ascii="Arial" w:eastAsia="Arial" w:hAnsi="Arial" w:cs="Arial"/>
          <w:color w:val="000000"/>
        </w:rPr>
        <w:tab/>
        <w:t>“Working D</w:t>
      </w:r>
      <w:r>
        <w:rPr>
          <w:rFonts w:ascii="Arial" w:eastAsia="Arial" w:hAnsi="Arial" w:cs="Arial"/>
          <w:color w:val="000000"/>
        </w:rPr>
        <w:t>ay”: reference to “England and Wales” replaced by “Northern Ireland”</w:t>
      </w:r>
    </w:p>
    <w:p w14:paraId="0000001B" w14:textId="77777777" w:rsidR="002B6B75" w:rsidRDefault="002B6B75">
      <w:pPr>
        <w:pBdr>
          <w:top w:val="nil"/>
          <w:left w:val="nil"/>
          <w:bottom w:val="nil"/>
          <w:right w:val="nil"/>
          <w:between w:val="nil"/>
        </w:pBdr>
        <w:ind w:left="1985" w:hanging="709"/>
        <w:jc w:val="both"/>
        <w:rPr>
          <w:rFonts w:ascii="Arial" w:eastAsia="Arial" w:hAnsi="Arial" w:cs="Arial"/>
          <w:color w:val="000000"/>
        </w:rPr>
      </w:pPr>
    </w:p>
    <w:p w14:paraId="0000001C" w14:textId="77777777" w:rsidR="002B6B75" w:rsidRDefault="00652353">
      <w:pPr>
        <w:pBdr>
          <w:top w:val="nil"/>
          <w:left w:val="nil"/>
          <w:bottom w:val="nil"/>
          <w:right w:val="nil"/>
          <w:between w:val="nil"/>
        </w:pBdr>
        <w:ind w:left="1560"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0000001D" w14:textId="77777777" w:rsidR="002B6B75" w:rsidRDefault="002B6B75">
      <w:pPr>
        <w:pBdr>
          <w:top w:val="nil"/>
          <w:left w:val="nil"/>
          <w:bottom w:val="nil"/>
          <w:right w:val="nil"/>
          <w:between w:val="nil"/>
        </w:pBdr>
        <w:ind w:left="1134" w:hanging="708"/>
        <w:jc w:val="both"/>
        <w:rPr>
          <w:rFonts w:ascii="Arial" w:eastAsia="Arial" w:hAnsi="Arial" w:cs="Arial"/>
          <w:color w:val="000000"/>
        </w:rPr>
      </w:pPr>
    </w:p>
    <w:p w14:paraId="0000001E" w14:textId="77777777" w:rsidR="002B6B75" w:rsidRDefault="00652353">
      <w:pPr>
        <w:pBdr>
          <w:top w:val="nil"/>
          <w:left w:val="nil"/>
          <w:bottom w:val="nil"/>
          <w:right w:val="nil"/>
          <w:between w:val="nil"/>
        </w:pBdr>
        <w:ind w:left="2268"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Clause 1.1: substitute the following wording: “NOT USED”.</w:t>
      </w:r>
    </w:p>
    <w:p w14:paraId="0000001F" w14:textId="77777777" w:rsidR="002B6B75" w:rsidRDefault="002B6B75">
      <w:pPr>
        <w:pBdr>
          <w:top w:val="nil"/>
          <w:left w:val="nil"/>
          <w:bottom w:val="nil"/>
          <w:right w:val="nil"/>
          <w:between w:val="nil"/>
        </w:pBdr>
        <w:ind w:left="1985" w:hanging="709"/>
        <w:jc w:val="both"/>
        <w:rPr>
          <w:rFonts w:ascii="Arial" w:eastAsia="Arial" w:hAnsi="Arial" w:cs="Arial"/>
          <w:color w:val="000000"/>
        </w:rPr>
      </w:pPr>
    </w:p>
    <w:p w14:paraId="00000020" w14:textId="77777777" w:rsidR="002B6B75" w:rsidRDefault="00652353">
      <w:pPr>
        <w:pBdr>
          <w:top w:val="nil"/>
          <w:left w:val="nil"/>
          <w:bottom w:val="nil"/>
          <w:right w:val="nil"/>
          <w:between w:val="nil"/>
        </w:pBdr>
        <w:ind w:left="2267" w:hanging="708"/>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Clause 1.2: substitute the following wording: “NOT USED”.</w:t>
      </w:r>
    </w:p>
    <w:p w14:paraId="00000021" w14:textId="77777777" w:rsidR="002B6B75" w:rsidRDefault="002B6B75">
      <w:pPr>
        <w:pBdr>
          <w:top w:val="nil"/>
          <w:left w:val="nil"/>
          <w:bottom w:val="nil"/>
          <w:right w:val="nil"/>
          <w:between w:val="nil"/>
        </w:pBdr>
        <w:ind w:left="1985" w:hanging="709"/>
        <w:jc w:val="both"/>
        <w:rPr>
          <w:rFonts w:ascii="Arial" w:eastAsia="Arial" w:hAnsi="Arial" w:cs="Arial"/>
          <w:color w:val="000000"/>
        </w:rPr>
      </w:pPr>
    </w:p>
    <w:p w14:paraId="00000022" w14:textId="77777777" w:rsidR="002B6B75" w:rsidRDefault="00652353">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lastRenderedPageBreak/>
        <w:t>3.2.3</w:t>
      </w:r>
      <w:r>
        <w:rPr>
          <w:rFonts w:ascii="Arial" w:eastAsia="Arial" w:hAnsi="Arial" w:cs="Arial"/>
          <w:color w:val="000000"/>
        </w:rPr>
        <w:tab/>
        <w:t>Clause 2.1: substitute the following wording: “In addition to applicable equality and anti-discrimination legal obligations in Northern Ireland, the Supplier shall support CCS and the Buyer in fulfilling its obligations to promote equality of treatme</w:t>
      </w:r>
      <w:r>
        <w:rPr>
          <w:rFonts w:ascii="Arial" w:eastAsia="Arial" w:hAnsi="Arial" w:cs="Arial"/>
          <w:color w:val="000000"/>
        </w:rPr>
        <w:t>nt under Section 75 of the Northern Ireland Act 1998.”</w:t>
      </w:r>
    </w:p>
    <w:p w14:paraId="00000023" w14:textId="77777777" w:rsidR="002B6B75" w:rsidRDefault="002B6B75">
      <w:pPr>
        <w:pBdr>
          <w:top w:val="nil"/>
          <w:left w:val="nil"/>
          <w:bottom w:val="nil"/>
          <w:right w:val="nil"/>
          <w:between w:val="nil"/>
        </w:pBdr>
        <w:ind w:left="1985" w:hanging="709"/>
        <w:jc w:val="both"/>
        <w:rPr>
          <w:rFonts w:ascii="Arial" w:eastAsia="Arial" w:hAnsi="Arial" w:cs="Arial"/>
          <w:color w:val="000000"/>
        </w:rPr>
      </w:pPr>
    </w:p>
    <w:p w14:paraId="00000024" w14:textId="77777777" w:rsidR="002B6B75" w:rsidRDefault="00652353">
      <w:pPr>
        <w:ind w:left="1276" w:hanging="709"/>
        <w:jc w:val="both"/>
        <w:rPr>
          <w:rFonts w:ascii="Arial" w:eastAsia="Arial" w:hAnsi="Arial" w:cs="Arial"/>
        </w:rPr>
      </w:pPr>
      <w:r>
        <w:rPr>
          <w:rFonts w:ascii="Arial" w:eastAsia="Arial" w:hAnsi="Arial" w:cs="Arial"/>
        </w:rPr>
        <w:t>3.3</w:t>
      </w:r>
      <w:r>
        <w:rPr>
          <w:rFonts w:ascii="Arial" w:eastAsia="Arial" w:hAnsi="Arial" w:cs="Arial"/>
        </w:rPr>
        <w:tab/>
        <w:t>Joint Schedule 8 - Guarantee</w:t>
      </w:r>
    </w:p>
    <w:p w14:paraId="00000025" w14:textId="77777777" w:rsidR="002B6B75" w:rsidRDefault="002B6B75">
      <w:pPr>
        <w:ind w:left="1134" w:hanging="708"/>
        <w:jc w:val="both"/>
        <w:rPr>
          <w:rFonts w:ascii="Arial" w:eastAsia="Arial" w:hAnsi="Arial" w:cs="Arial"/>
        </w:rPr>
      </w:pPr>
    </w:p>
    <w:p w14:paraId="00000026" w14:textId="77777777" w:rsidR="002B6B75" w:rsidRDefault="00652353">
      <w:pPr>
        <w:ind w:left="1985" w:hanging="709"/>
        <w:jc w:val="both"/>
        <w:rPr>
          <w:rFonts w:ascii="Arial" w:eastAsia="Arial" w:hAnsi="Arial" w:cs="Arial"/>
        </w:rPr>
      </w:pPr>
      <w:r>
        <w:rPr>
          <w:rFonts w:ascii="Arial" w:eastAsia="Arial" w:hAnsi="Arial" w:cs="Arial"/>
        </w:rPr>
        <w:t>3.3.1</w:t>
      </w:r>
      <w:r>
        <w:rPr>
          <w:rFonts w:ascii="Arial" w:eastAsia="Arial" w:hAnsi="Arial" w:cs="Arial"/>
        </w:rPr>
        <w:tab/>
        <w:t>Clause 4.1: Delete references to “England and Wales” when referring to addresses.</w:t>
      </w:r>
    </w:p>
    <w:p w14:paraId="00000027" w14:textId="77777777" w:rsidR="002B6B75" w:rsidRDefault="002B6B75">
      <w:pPr>
        <w:jc w:val="both"/>
        <w:rPr>
          <w:rFonts w:ascii="Arial" w:eastAsia="Arial" w:hAnsi="Arial" w:cs="Arial"/>
        </w:rPr>
      </w:pPr>
    </w:p>
    <w:p w14:paraId="00000028" w14:textId="77777777" w:rsidR="002B6B75" w:rsidRDefault="00652353">
      <w:pPr>
        <w:ind w:left="1985" w:hanging="709"/>
        <w:jc w:val="both"/>
        <w:rPr>
          <w:rFonts w:ascii="Arial" w:eastAsia="Arial" w:hAnsi="Arial" w:cs="Arial"/>
        </w:rPr>
      </w:pPr>
      <w:r>
        <w:rPr>
          <w:rFonts w:ascii="Arial" w:eastAsia="Arial" w:hAnsi="Arial" w:cs="Arial"/>
        </w:rPr>
        <w:t>3.3.2</w:t>
      </w:r>
      <w:r>
        <w:rPr>
          <w:rFonts w:ascii="Arial" w:eastAsia="Arial" w:hAnsi="Arial" w:cs="Arial"/>
        </w:rPr>
        <w:tab/>
        <w:t xml:space="preserve">Clause 16: change title to Governing Law and Jurisdiction”; references </w:t>
      </w:r>
      <w:r>
        <w:rPr>
          <w:rFonts w:ascii="Arial" w:eastAsia="Arial" w:hAnsi="Arial" w:cs="Arial"/>
        </w:rPr>
        <w:t>to “Courts of England” to be replaced by “Courts of Northern Ireland”, references to “English law” to be replaced by the “the laws of Northern Ireland”.</w:t>
      </w:r>
    </w:p>
    <w:p w14:paraId="00000029" w14:textId="77777777" w:rsidR="002B6B75" w:rsidRDefault="002B6B75">
      <w:pPr>
        <w:ind w:left="1985" w:hanging="709"/>
        <w:jc w:val="both"/>
        <w:rPr>
          <w:rFonts w:ascii="Arial" w:eastAsia="Arial" w:hAnsi="Arial" w:cs="Arial"/>
        </w:rPr>
      </w:pPr>
    </w:p>
    <w:p w14:paraId="0000002A" w14:textId="77777777" w:rsidR="002B6B75" w:rsidRDefault="002B6B75">
      <w:pPr>
        <w:ind w:left="1985" w:hanging="709"/>
        <w:jc w:val="both"/>
        <w:rPr>
          <w:rFonts w:ascii="Arial" w:eastAsia="Arial" w:hAnsi="Arial" w:cs="Arial"/>
        </w:rPr>
      </w:pPr>
    </w:p>
    <w:p w14:paraId="0000002B" w14:textId="77777777" w:rsidR="002B6B75" w:rsidRDefault="00652353">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Call-Off Schedules</w:t>
      </w:r>
    </w:p>
    <w:p w14:paraId="0000002C" w14:textId="77777777" w:rsidR="002B6B75" w:rsidRDefault="002B6B75">
      <w:pPr>
        <w:pBdr>
          <w:top w:val="nil"/>
          <w:left w:val="nil"/>
          <w:bottom w:val="nil"/>
          <w:right w:val="nil"/>
          <w:between w:val="nil"/>
        </w:pBdr>
        <w:ind w:left="851"/>
        <w:jc w:val="both"/>
        <w:rPr>
          <w:rFonts w:ascii="Arial" w:eastAsia="Arial" w:hAnsi="Arial" w:cs="Arial"/>
          <w:b/>
          <w:color w:val="000000"/>
        </w:rPr>
      </w:pPr>
    </w:p>
    <w:p w14:paraId="0000002D" w14:textId="77777777" w:rsidR="002B6B75" w:rsidRDefault="00652353">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Call-Off Schedule 1 (Transparency Reports)</w:t>
      </w:r>
    </w:p>
    <w:p w14:paraId="0000002E" w14:textId="77777777" w:rsidR="002B6B75" w:rsidRDefault="002B6B75">
      <w:pPr>
        <w:tabs>
          <w:tab w:val="left" w:pos="1134"/>
        </w:tabs>
        <w:ind w:left="426" w:hanging="567"/>
        <w:jc w:val="both"/>
        <w:rPr>
          <w:rFonts w:ascii="Arial" w:eastAsia="Arial" w:hAnsi="Arial" w:cs="Arial"/>
        </w:rPr>
      </w:pPr>
    </w:p>
    <w:p w14:paraId="0000002F" w14:textId="77777777" w:rsidR="002B6B75" w:rsidRDefault="00652353">
      <w:pPr>
        <w:tabs>
          <w:tab w:val="left" w:pos="1134"/>
        </w:tabs>
        <w:ind w:left="1985" w:hanging="851"/>
        <w:jc w:val="both"/>
        <w:rPr>
          <w:rFonts w:ascii="Arial" w:eastAsia="Arial" w:hAnsi="Arial" w:cs="Arial"/>
        </w:rPr>
      </w:pPr>
      <w:r>
        <w:rPr>
          <w:rFonts w:ascii="Arial" w:eastAsia="Arial" w:hAnsi="Arial" w:cs="Arial"/>
        </w:rPr>
        <w:t>4.1.1</w:t>
      </w:r>
      <w:r>
        <w:rPr>
          <w:rFonts w:ascii="Arial" w:eastAsia="Arial" w:hAnsi="Arial" w:cs="Arial"/>
        </w:rPr>
        <w:tab/>
      </w:r>
      <w:r>
        <w:rPr>
          <w:rFonts w:ascii="Arial" w:eastAsia="Arial" w:hAnsi="Arial" w:cs="Arial"/>
        </w:rPr>
        <w:t>If this Call-Off Schedule 21 (Northern Ireland Law) is included in any Call-Off Contract then Call-Off Schedule 1 (Transparency Reports) is excluded from that Call-Off Contract and does not apply to that Call-Off Contract.</w:t>
      </w:r>
    </w:p>
    <w:p w14:paraId="00000030" w14:textId="77777777" w:rsidR="002B6B75" w:rsidRDefault="002B6B75">
      <w:pPr>
        <w:tabs>
          <w:tab w:val="left" w:pos="1134"/>
        </w:tabs>
        <w:ind w:left="426" w:hanging="567"/>
        <w:jc w:val="both"/>
        <w:rPr>
          <w:rFonts w:ascii="Arial" w:eastAsia="Arial" w:hAnsi="Arial" w:cs="Arial"/>
        </w:rPr>
      </w:pPr>
    </w:p>
    <w:p w14:paraId="00000031" w14:textId="77777777" w:rsidR="002B6B75" w:rsidRDefault="00652353">
      <w:pPr>
        <w:tabs>
          <w:tab w:val="left" w:pos="1276"/>
        </w:tabs>
        <w:ind w:left="993" w:hanging="426"/>
        <w:jc w:val="both"/>
        <w:rPr>
          <w:rFonts w:ascii="Arial" w:eastAsia="Arial" w:hAnsi="Arial" w:cs="Arial"/>
        </w:rPr>
      </w:pPr>
      <w:r>
        <w:rPr>
          <w:rFonts w:ascii="Arial" w:eastAsia="Arial" w:hAnsi="Arial" w:cs="Arial"/>
        </w:rPr>
        <w:t>4.2</w:t>
      </w:r>
      <w:r>
        <w:rPr>
          <w:rFonts w:ascii="Arial" w:eastAsia="Arial" w:hAnsi="Arial" w:cs="Arial"/>
        </w:rPr>
        <w:tab/>
        <w:t xml:space="preserve">    Call-Off Schedule 18 (Ba</w:t>
      </w:r>
      <w:r>
        <w:rPr>
          <w:rFonts w:ascii="Arial" w:eastAsia="Arial" w:hAnsi="Arial" w:cs="Arial"/>
        </w:rPr>
        <w:t>ckground Checks)</w:t>
      </w:r>
    </w:p>
    <w:p w14:paraId="00000032" w14:textId="77777777" w:rsidR="002B6B75" w:rsidRDefault="002B6B75">
      <w:pPr>
        <w:pBdr>
          <w:top w:val="nil"/>
          <w:left w:val="nil"/>
          <w:bottom w:val="nil"/>
          <w:right w:val="nil"/>
          <w:between w:val="nil"/>
        </w:pBdr>
        <w:ind w:left="851"/>
        <w:jc w:val="both"/>
        <w:rPr>
          <w:rFonts w:ascii="Arial" w:eastAsia="Arial" w:hAnsi="Arial" w:cs="Arial"/>
          <w:color w:val="000000"/>
        </w:rPr>
      </w:pPr>
    </w:p>
    <w:p w14:paraId="00000033" w14:textId="77777777" w:rsidR="002B6B75" w:rsidRDefault="00652353">
      <w:pPr>
        <w:pBdr>
          <w:top w:val="nil"/>
          <w:left w:val="nil"/>
          <w:bottom w:val="nil"/>
          <w:right w:val="nil"/>
          <w:between w:val="nil"/>
        </w:pBdr>
        <w:ind w:left="1985" w:hanging="709"/>
        <w:jc w:val="both"/>
        <w:rPr>
          <w:rFonts w:ascii="Arial" w:eastAsia="Arial" w:hAnsi="Arial" w:cs="Arial"/>
          <w:color w:val="000000"/>
        </w:rPr>
      </w:pPr>
      <w:bookmarkStart w:id="1" w:name="_heading=h.gjdgxs" w:colFirst="0" w:colLast="0"/>
      <w:bookmarkEnd w:id="1"/>
      <w:r>
        <w:rPr>
          <w:rFonts w:ascii="Arial" w:eastAsia="Arial" w:hAnsi="Arial" w:cs="Arial"/>
          <w:color w:val="000000"/>
        </w:rPr>
        <w:t xml:space="preserve">4.2.1 Clause 3.1.2: substitute the following wording: “Notwithstanding Paragraph 2.1.1 for each member of Supplier Staff who, in providing the Deliverables, has, will have or is likely to have access to children, vulnerable persons or other members of the </w:t>
      </w:r>
      <w:r>
        <w:rPr>
          <w:rFonts w:ascii="Arial" w:eastAsia="Arial" w:hAnsi="Arial" w:cs="Arial"/>
          <w:color w:val="000000"/>
        </w:rPr>
        <w:t>public to whom the Buyer owes a special duty of care, the Supplier must (and shall procure that the relevant Sub</w:t>
      </w:r>
      <w:r>
        <w:rPr>
          <w:rFonts w:ascii="Arial" w:eastAsia="Arial" w:hAnsi="Arial" w:cs="Arial"/>
        </w:rPr>
        <w:t>c</w:t>
      </w:r>
      <w:r>
        <w:rPr>
          <w:rFonts w:ascii="Arial" w:eastAsia="Arial" w:hAnsi="Arial" w:cs="Arial"/>
          <w:color w:val="000000"/>
        </w:rPr>
        <w:t xml:space="preserve">ontractor must) conduct an “Enhanced” Access NI Check and the Supplier shall not (and shall ensure that any </w:t>
      </w:r>
      <w:r>
        <w:rPr>
          <w:rFonts w:ascii="Arial" w:eastAsia="Arial" w:hAnsi="Arial" w:cs="Arial"/>
        </w:rPr>
        <w:t>Subcontractor</w:t>
      </w:r>
      <w:r>
        <w:rPr>
          <w:rFonts w:ascii="Arial" w:eastAsia="Arial" w:hAnsi="Arial" w:cs="Arial"/>
          <w:color w:val="000000"/>
        </w:rPr>
        <w:t xml:space="preserve"> shall not) engage or </w:t>
      </w:r>
      <w:r>
        <w:rPr>
          <w:rFonts w:ascii="Arial" w:eastAsia="Arial" w:hAnsi="Arial" w:cs="Arial"/>
          <w:color w:val="000000"/>
        </w:rPr>
        <w:t xml:space="preserve">continue to employ in the provision of the Deliverables any person who has a Relevant Conviction or an inappropriate record.” </w:t>
      </w:r>
    </w:p>
    <w:p w14:paraId="00000034" w14:textId="77777777" w:rsidR="002B6B75" w:rsidRDefault="002B6B75">
      <w:pPr>
        <w:pBdr>
          <w:top w:val="nil"/>
          <w:left w:val="nil"/>
          <w:bottom w:val="nil"/>
          <w:right w:val="nil"/>
          <w:between w:val="nil"/>
        </w:pBdr>
        <w:ind w:left="1985" w:hanging="709"/>
        <w:jc w:val="both"/>
        <w:rPr>
          <w:rFonts w:ascii="Arial" w:eastAsia="Arial" w:hAnsi="Arial" w:cs="Arial"/>
          <w:b/>
          <w:color w:val="000000"/>
        </w:rPr>
      </w:pPr>
    </w:p>
    <w:p w14:paraId="00000035" w14:textId="77777777" w:rsidR="002B6B75" w:rsidRDefault="002B6B75">
      <w:pPr>
        <w:rPr>
          <w:rFonts w:ascii="Arial" w:eastAsia="Arial" w:hAnsi="Arial" w:cs="Arial"/>
        </w:rPr>
      </w:pPr>
    </w:p>
    <w:p w14:paraId="00000036" w14:textId="77777777" w:rsidR="002B6B75" w:rsidRDefault="002B6B75">
      <w:pPr>
        <w:rPr>
          <w:rFonts w:ascii="Arial" w:eastAsia="Arial" w:hAnsi="Arial" w:cs="Arial"/>
        </w:rPr>
      </w:pPr>
    </w:p>
    <w:p w14:paraId="00000037" w14:textId="77777777" w:rsidR="002B6B75" w:rsidRDefault="002B6B75">
      <w:pPr>
        <w:rPr>
          <w:rFonts w:ascii="Arial" w:eastAsia="Arial" w:hAnsi="Arial" w:cs="Arial"/>
          <w:sz w:val="16"/>
          <w:szCs w:val="16"/>
        </w:rPr>
      </w:pPr>
    </w:p>
    <w:sectPr w:rsidR="002B6B75">
      <w:headerReference w:type="default" r:id="rId8"/>
      <w:footerReference w:type="default" r:id="rId9"/>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0A112" w14:textId="77777777" w:rsidR="00652353" w:rsidRDefault="00652353">
      <w:r>
        <w:separator/>
      </w:r>
    </w:p>
  </w:endnote>
  <w:endnote w:type="continuationSeparator" w:id="0">
    <w:p w14:paraId="5007AF9E" w14:textId="77777777" w:rsidR="00652353" w:rsidRDefault="0065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2B6B75" w:rsidRDefault="002B6B75">
    <w:pPr>
      <w:tabs>
        <w:tab w:val="center" w:pos="4513"/>
        <w:tab w:val="right" w:pos="9026"/>
      </w:tabs>
      <w:rPr>
        <w:rFonts w:ascii="Arial" w:eastAsia="Arial" w:hAnsi="Arial" w:cs="Arial"/>
        <w:sz w:val="20"/>
        <w:szCs w:val="20"/>
      </w:rPr>
    </w:pPr>
  </w:p>
  <w:p w14:paraId="0000003D" w14:textId="77777777" w:rsidR="002B6B75" w:rsidRDefault="00652353">
    <w:pPr>
      <w:tabs>
        <w:tab w:val="center" w:pos="4513"/>
        <w:tab w:val="right" w:pos="9026"/>
      </w:tabs>
      <w:rPr>
        <w:rFonts w:ascii="Arial" w:eastAsia="Arial" w:hAnsi="Arial" w:cs="Arial"/>
        <w:sz w:val="20"/>
        <w:szCs w:val="20"/>
      </w:rPr>
    </w:pPr>
    <w:r>
      <w:rPr>
        <w:rFonts w:ascii="Arial" w:eastAsia="Arial" w:hAnsi="Arial" w:cs="Arial"/>
        <w:sz w:val="20"/>
        <w:szCs w:val="20"/>
      </w:rPr>
      <w:t>Framework Ref: RM6171</w:t>
    </w:r>
  </w:p>
  <w:p w14:paraId="0000003E" w14:textId="77777777" w:rsidR="002B6B75" w:rsidRDefault="00652353">
    <w:pPr>
      <w:tabs>
        <w:tab w:val="center" w:pos="4513"/>
        <w:tab w:val="right" w:pos="9026"/>
      </w:tabs>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0000003F" w14:textId="77777777" w:rsidR="002B6B75" w:rsidRDefault="00652353">
    <w:pPr>
      <w:pBdr>
        <w:top w:val="nil"/>
        <w:left w:val="nil"/>
        <w:bottom w:val="nil"/>
        <w:right w:val="nil"/>
        <w:between w:val="nil"/>
      </w:pBdr>
      <w:tabs>
        <w:tab w:val="center" w:pos="4320"/>
        <w:tab w:val="right" w:pos="8640"/>
      </w:tabs>
      <w:rPr>
        <w:color w:val="000000"/>
      </w:rPr>
    </w:pPr>
    <w:r>
      <w:rPr>
        <w:rFonts w:ascii="Arial" w:eastAsia="Arial" w:hAnsi="Arial" w:cs="Arial"/>
        <w:color w:val="000000"/>
        <w:sz w:val="20"/>
        <w:szCs w:val="20"/>
      </w:rPr>
      <w:t>Model Version: v1.0</w:t>
    </w:r>
  </w:p>
  <w:p w14:paraId="00000040" w14:textId="77777777" w:rsidR="002B6B75" w:rsidRDefault="002B6B75">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064DD" w14:textId="77777777" w:rsidR="00652353" w:rsidRDefault="00652353">
      <w:r>
        <w:separator/>
      </w:r>
    </w:p>
  </w:footnote>
  <w:footnote w:type="continuationSeparator" w:id="0">
    <w:p w14:paraId="162EF4F6" w14:textId="77777777" w:rsidR="00652353" w:rsidRDefault="0065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8" w14:textId="77777777" w:rsidR="002B6B75" w:rsidRDefault="00652353">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00000039" w14:textId="77777777" w:rsidR="002B6B75" w:rsidRDefault="00652353">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w:t>
    </w:r>
  </w:p>
  <w:p w14:paraId="0000003A" w14:textId="0E39A63D" w:rsidR="002B6B75" w:rsidRDefault="008B515E">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Crown Copyright 2021</w:t>
    </w:r>
  </w:p>
  <w:p w14:paraId="0000003B" w14:textId="77777777" w:rsidR="002B6B75" w:rsidRDefault="002B6B7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B2445"/>
    <w:multiLevelType w:val="multilevel"/>
    <w:tmpl w:val="38CA184E"/>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B75"/>
    <w:rsid w:val="002B6B75"/>
    <w:rsid w:val="00652353"/>
    <w:rsid w:val="008B51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1360E"/>
  <w15:docId w15:val="{90589E3D-43D4-48A3-A515-78A3C5AC1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4U+66tx5ZHOwVN6ZQrjUS59aHg==">AMUW2mWmbaERQPXATiZDKmETsWUaiOTmW9VfTujDSeJx/DRpDUJ9B/ex4Jy+MG5CPzsFKNHJ1nigyqJnqZ7Ji08D6I99rHg4lnsbd5MNP4xkNPwrfz5DoPMAngu1FrjxEMyVsK6aqp29</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Fiona Ryan</cp:lastModifiedBy>
  <cp:revision>2</cp:revision>
  <dcterms:created xsi:type="dcterms:W3CDTF">2021-01-26T23:50:00Z</dcterms:created>
  <dcterms:modified xsi:type="dcterms:W3CDTF">2021-01-26T23:50:00Z</dcterms:modified>
</cp:coreProperties>
</file>